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443175">
      <w:pPr>
        <w:spacing w:after="0" w:line="480" w:lineRule="auto"/>
        <w:contextualSpacing/>
        <w:jc w:val="center"/>
        <w:rPr>
          <w:rFonts w:ascii="Times New Roman" w:hAnsi="Times New Roman"/>
          <w:sz w:val="24"/>
          <w:szCs w:val="24"/>
          <w:lang w:val="ru-RU"/>
        </w:rPr>
      </w:pPr>
    </w:p>
    <w:p w:rsidR="00B71060" w:rsidRPr="001D149A" w:rsidRDefault="00B71060" w:rsidP="00443175">
      <w:pPr>
        <w:spacing w:after="0" w:line="480" w:lineRule="auto"/>
        <w:contextualSpacing/>
        <w:jc w:val="center"/>
        <w:rPr>
          <w:rFonts w:ascii="Times New Roman" w:hAnsi="Times New Roman"/>
          <w:sz w:val="24"/>
          <w:szCs w:val="24"/>
        </w:rPr>
      </w:pPr>
    </w:p>
    <w:p w:rsidR="00B71060" w:rsidRPr="001D149A" w:rsidRDefault="00B71060" w:rsidP="00443175">
      <w:pPr>
        <w:spacing w:after="0" w:line="480" w:lineRule="auto"/>
        <w:contextualSpacing/>
        <w:jc w:val="center"/>
        <w:rPr>
          <w:rFonts w:ascii="Times New Roman" w:hAnsi="Times New Roman"/>
          <w:sz w:val="24"/>
          <w:szCs w:val="24"/>
        </w:rPr>
      </w:pPr>
    </w:p>
    <w:p w:rsidR="00B71060" w:rsidRPr="001D149A" w:rsidRDefault="00B71060" w:rsidP="00443175">
      <w:pPr>
        <w:spacing w:after="0" w:line="480" w:lineRule="auto"/>
        <w:contextualSpacing/>
        <w:jc w:val="center"/>
        <w:rPr>
          <w:rFonts w:ascii="Times New Roman" w:hAnsi="Times New Roman"/>
          <w:sz w:val="24"/>
          <w:szCs w:val="24"/>
        </w:rPr>
      </w:pPr>
    </w:p>
    <w:p w:rsidR="00B71060" w:rsidRPr="001D149A" w:rsidRDefault="00B71060" w:rsidP="00443175">
      <w:pPr>
        <w:spacing w:after="0" w:line="480" w:lineRule="auto"/>
        <w:contextualSpacing/>
        <w:jc w:val="center"/>
        <w:rPr>
          <w:rFonts w:ascii="Times New Roman" w:hAnsi="Times New Roman"/>
          <w:sz w:val="24"/>
          <w:szCs w:val="24"/>
        </w:rPr>
      </w:pPr>
    </w:p>
    <w:p w:rsidR="00B71060" w:rsidRPr="001D149A" w:rsidRDefault="00B71060" w:rsidP="00443175">
      <w:pPr>
        <w:spacing w:after="0" w:line="480" w:lineRule="auto"/>
        <w:contextualSpacing/>
        <w:jc w:val="center"/>
        <w:rPr>
          <w:rFonts w:ascii="Times New Roman" w:hAnsi="Times New Roman"/>
          <w:sz w:val="24"/>
          <w:szCs w:val="24"/>
        </w:rPr>
      </w:pPr>
    </w:p>
    <w:p w:rsidR="00B71060" w:rsidRDefault="00B71060" w:rsidP="00443175">
      <w:pPr>
        <w:spacing w:after="0" w:line="480" w:lineRule="auto"/>
        <w:contextualSpacing/>
        <w:jc w:val="center"/>
        <w:rPr>
          <w:rFonts w:ascii="Times New Roman" w:hAnsi="Times New Roman"/>
          <w:sz w:val="24"/>
          <w:szCs w:val="24"/>
        </w:rPr>
      </w:pPr>
    </w:p>
    <w:p w:rsidR="00443175" w:rsidRDefault="00443175" w:rsidP="00443175">
      <w:pPr>
        <w:spacing w:after="0" w:line="480" w:lineRule="auto"/>
        <w:contextualSpacing/>
        <w:jc w:val="center"/>
        <w:rPr>
          <w:rFonts w:ascii="Times New Roman" w:hAnsi="Times New Roman"/>
          <w:sz w:val="24"/>
          <w:szCs w:val="24"/>
        </w:rPr>
      </w:pPr>
    </w:p>
    <w:p w:rsidR="00443175" w:rsidRPr="001D149A" w:rsidRDefault="00443175" w:rsidP="00443175">
      <w:pPr>
        <w:spacing w:after="0" w:line="480" w:lineRule="auto"/>
        <w:contextualSpacing/>
        <w:jc w:val="center"/>
        <w:rPr>
          <w:rFonts w:ascii="Times New Roman" w:hAnsi="Times New Roman"/>
          <w:sz w:val="24"/>
          <w:szCs w:val="24"/>
        </w:rPr>
      </w:pPr>
    </w:p>
    <w:p w:rsidR="000855D5" w:rsidRDefault="000855D5" w:rsidP="00443175">
      <w:pPr>
        <w:spacing w:after="0" w:line="480" w:lineRule="auto"/>
        <w:contextualSpacing/>
        <w:jc w:val="center"/>
        <w:rPr>
          <w:rFonts w:ascii="Times New Roman" w:eastAsia="Times New Roman" w:hAnsi="Times New Roman"/>
          <w:sz w:val="24"/>
          <w:szCs w:val="24"/>
        </w:rPr>
      </w:pPr>
      <w:r>
        <w:rPr>
          <w:rFonts w:ascii="Times New Roman" w:hAnsi="Times New Roman"/>
          <w:sz w:val="24"/>
        </w:rPr>
        <w:t>Strategic Planning</w:t>
      </w:r>
    </w:p>
    <w:p w:rsidR="00B71060" w:rsidRPr="001D149A" w:rsidRDefault="00B71060" w:rsidP="00443175">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443175">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443175">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443175">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0855D5">
        <w:rPr>
          <w:rFonts w:ascii="Times New Roman" w:hAnsi="Times New Roman"/>
          <w:sz w:val="24"/>
        </w:rPr>
        <w:lastRenderedPageBreak/>
        <w:t>Strategic Planning</w:t>
      </w:r>
    </w:p>
    <w:p w:rsidR="00F2391A" w:rsidRDefault="00F02E04" w:rsidP="00443175">
      <w:pPr>
        <w:spacing w:after="0" w:line="480" w:lineRule="auto"/>
        <w:ind w:firstLine="720"/>
        <w:contextualSpacing/>
        <w:jc w:val="both"/>
        <w:rPr>
          <w:rFonts w:ascii="Times New Roman" w:hAnsi="Times New Roman"/>
          <w:sz w:val="24"/>
          <w:szCs w:val="24"/>
          <w:shd w:val="clear" w:color="auto" w:fill="FFFFFF"/>
        </w:rPr>
      </w:pPr>
      <w:r w:rsidRPr="00F02E04">
        <w:rPr>
          <w:rFonts w:ascii="Times New Roman" w:hAnsi="Times New Roman"/>
          <w:sz w:val="24"/>
          <w:szCs w:val="24"/>
          <w:shd w:val="clear" w:color="auto" w:fill="FFFFFF"/>
        </w:rPr>
        <w:t xml:space="preserve">The success of an organization is a combination of various strategies that ensure all the efforts of the organization are directed to the achievement of its set goals and objectives (Kemp, 2018). More so, the success of the organization should be consistent throughout its financial years. Therefore, to </w:t>
      </w:r>
      <w:r w:rsidR="00AC1AFF">
        <w:rPr>
          <w:rFonts w:ascii="Times New Roman" w:hAnsi="Times New Roman"/>
          <w:sz w:val="24"/>
          <w:szCs w:val="24"/>
          <w:shd w:val="clear" w:color="auto" w:fill="FFFFFF"/>
        </w:rPr>
        <w:t>meet</w:t>
      </w:r>
      <w:r w:rsidRPr="00F02E04">
        <w:rPr>
          <w:rFonts w:ascii="Times New Roman" w:hAnsi="Times New Roman"/>
          <w:sz w:val="24"/>
          <w:szCs w:val="24"/>
          <w:shd w:val="clear" w:color="auto" w:fill="FFFFFF"/>
        </w:rPr>
        <w:t xml:space="preserve"> the organization's ultimate success, it employs a strategic plan. In this case, strategic planning involves creating specific strategies, implementing them, and conducting an evaluation of the implemented strategic plan about the organization's goals and objectives, both long term and mid-term (Kemp, 2018). For an organization to achieve strategic planning, various approaches are used to analyze its goals, desired outcomes, and measuring the progress within the identified timelines. Excellent examples of these approaches include SWOT analysis, PESTEL analysis, among others.</w:t>
      </w:r>
    </w:p>
    <w:p w:rsidR="00DF5484" w:rsidRPr="00DF5484" w:rsidRDefault="00DF5484" w:rsidP="00443175">
      <w:pPr>
        <w:spacing w:after="0" w:line="480" w:lineRule="auto"/>
        <w:contextualSpacing/>
        <w:jc w:val="center"/>
        <w:rPr>
          <w:rFonts w:ascii="Times New Roman" w:hAnsi="Times New Roman"/>
          <w:b/>
          <w:bCs/>
          <w:sz w:val="24"/>
          <w:szCs w:val="24"/>
          <w:shd w:val="clear" w:color="auto" w:fill="FFFFFF"/>
        </w:rPr>
      </w:pPr>
      <w:r w:rsidRPr="00DF5484">
        <w:rPr>
          <w:rFonts w:ascii="Times New Roman" w:hAnsi="Times New Roman"/>
          <w:b/>
          <w:bCs/>
          <w:sz w:val="24"/>
          <w:szCs w:val="24"/>
          <w:shd w:val="clear" w:color="auto" w:fill="FFFFFF"/>
        </w:rPr>
        <w:t>Strategic Planning Approach</w:t>
      </w:r>
    </w:p>
    <w:p w:rsidR="00F02E04" w:rsidRPr="00F02E04" w:rsidRDefault="00F02E04" w:rsidP="00443175">
      <w:pPr>
        <w:spacing w:after="0" w:line="480" w:lineRule="auto"/>
        <w:ind w:firstLine="720"/>
        <w:contextualSpacing/>
        <w:jc w:val="both"/>
        <w:rPr>
          <w:rFonts w:ascii="Times New Roman" w:hAnsi="Times New Roman"/>
          <w:sz w:val="24"/>
          <w:szCs w:val="24"/>
          <w:shd w:val="clear" w:color="auto" w:fill="FFFFFF"/>
        </w:rPr>
      </w:pPr>
      <w:r w:rsidRPr="00F02E04">
        <w:rPr>
          <w:rFonts w:ascii="Times New Roman" w:hAnsi="Times New Roman"/>
          <w:sz w:val="24"/>
          <w:szCs w:val="24"/>
          <w:shd w:val="clear" w:color="auto" w:fill="FFFFFF"/>
        </w:rPr>
        <w:t>The most used approach to strategic planning in the initial stages of the development of a strategic plan is the SWOT analysis. This approach is an acronym for strengths, weaknesses, opportunities, and threats, and it analyzes factors of an organization</w:t>
      </w:r>
      <w:r w:rsidR="005228D4">
        <w:rPr>
          <w:rFonts w:ascii="Times New Roman" w:hAnsi="Times New Roman"/>
          <w:sz w:val="24"/>
          <w:szCs w:val="24"/>
          <w:shd w:val="clear" w:color="auto" w:fill="FFFFFF"/>
        </w:rPr>
        <w:t xml:space="preserve"> both internally and externally</w:t>
      </w:r>
      <w:r w:rsidRPr="00F02E04">
        <w:rPr>
          <w:rFonts w:ascii="Times New Roman" w:hAnsi="Times New Roman"/>
          <w:sz w:val="24"/>
          <w:szCs w:val="24"/>
          <w:shd w:val="clear" w:color="auto" w:fill="FFFFFF"/>
        </w:rPr>
        <w:t xml:space="preserve"> (Gürel &amp; Tat, 2017). Once the analysis is conducted, the organization understands where it needs to make improvements within the organization and the specific external factors that create opportunities or are a threat to the organization (Abdel-Basset, Mohamed, &amp; Smarandache, 2018). In this case, the main focus will be on the internal factors under the SWOT analysis,</w:t>
      </w:r>
      <w:r w:rsidR="005228D4">
        <w:rPr>
          <w:rFonts w:ascii="Times New Roman" w:hAnsi="Times New Roman"/>
          <w:sz w:val="24"/>
          <w:szCs w:val="24"/>
          <w:shd w:val="clear" w:color="auto" w:fill="FFFFFF"/>
        </w:rPr>
        <w:t xml:space="preserve"> specifically under the</w:t>
      </w:r>
      <w:r w:rsidRPr="00F02E04">
        <w:rPr>
          <w:rFonts w:ascii="Times New Roman" w:hAnsi="Times New Roman"/>
          <w:sz w:val="24"/>
          <w:szCs w:val="24"/>
          <w:shd w:val="clear" w:color="auto" w:fill="FFFFFF"/>
        </w:rPr>
        <w:t xml:space="preserve"> strengths, and weaknesses. </w:t>
      </w:r>
    </w:p>
    <w:p w:rsidR="00F02E04" w:rsidRPr="00F02E04" w:rsidRDefault="00F02E04" w:rsidP="00443175">
      <w:pPr>
        <w:spacing w:after="0" w:line="480" w:lineRule="auto"/>
        <w:ind w:firstLine="720"/>
        <w:contextualSpacing/>
        <w:jc w:val="both"/>
        <w:rPr>
          <w:rFonts w:ascii="Times New Roman" w:hAnsi="Times New Roman"/>
          <w:sz w:val="24"/>
          <w:szCs w:val="24"/>
          <w:shd w:val="clear" w:color="auto" w:fill="FFFFFF"/>
        </w:rPr>
      </w:pPr>
      <w:r w:rsidRPr="00F02E04">
        <w:rPr>
          <w:rFonts w:ascii="Times New Roman" w:hAnsi="Times New Roman"/>
          <w:sz w:val="24"/>
          <w:szCs w:val="24"/>
          <w:shd w:val="clear" w:color="auto" w:fill="FFFFFF"/>
        </w:rPr>
        <w:t xml:space="preserve">Strengths in SWOT analysis involve the organization’s competitive advantage in the industry or market; for instance, its services or products may be of high quality (Abdel-Basset, Mohamed, &amp; Smarandache, 2018). On the other hand, weaknesses in SWOT analysis involve the </w:t>
      </w:r>
      <w:r w:rsidRPr="00F02E04">
        <w:rPr>
          <w:rFonts w:ascii="Times New Roman" w:hAnsi="Times New Roman"/>
          <w:sz w:val="24"/>
          <w:szCs w:val="24"/>
          <w:shd w:val="clear" w:color="auto" w:fill="FFFFFF"/>
        </w:rPr>
        <w:lastRenderedPageBreak/>
        <w:t xml:space="preserve">shortcomings of the organization concerning the market. Moreover, weaknesses may be associated with the organization’s culture of conducting functions. For instance, the agency allows for specific management levels to partake in the formulation of a strategic plan. This is a significant weakness since only a part of the agency contributes to the identification of the organization’s </w:t>
      </w:r>
      <w:r w:rsidR="007E386D" w:rsidRPr="00F02E04">
        <w:rPr>
          <w:rFonts w:ascii="Times New Roman" w:hAnsi="Times New Roman"/>
          <w:sz w:val="24"/>
          <w:szCs w:val="24"/>
          <w:shd w:val="clear" w:color="auto" w:fill="FFFFFF"/>
        </w:rPr>
        <w:t xml:space="preserve">both the internal and external </w:t>
      </w:r>
      <w:r w:rsidR="007E386D">
        <w:rPr>
          <w:rFonts w:ascii="Times New Roman" w:hAnsi="Times New Roman"/>
          <w:sz w:val="24"/>
          <w:szCs w:val="24"/>
          <w:shd w:val="clear" w:color="auto" w:fill="FFFFFF"/>
        </w:rPr>
        <w:t xml:space="preserve">influences </w:t>
      </w:r>
      <w:r w:rsidRPr="00F02E04">
        <w:rPr>
          <w:rFonts w:ascii="Times New Roman" w:hAnsi="Times New Roman"/>
          <w:sz w:val="24"/>
          <w:szCs w:val="24"/>
          <w:shd w:val="clear" w:color="auto" w:fill="FFFFFF"/>
        </w:rPr>
        <w:t xml:space="preserve">(Gürel &amp; Tat, 2017). Therefore, one of the strategies would be to address the participation and inclusivity issues and provide mitigation measures to solve the problems. </w:t>
      </w:r>
    </w:p>
    <w:p w:rsidR="00477C60" w:rsidRDefault="00F02E04" w:rsidP="00443175">
      <w:pPr>
        <w:spacing w:after="0" w:line="480" w:lineRule="auto"/>
        <w:ind w:firstLine="720"/>
        <w:contextualSpacing/>
        <w:jc w:val="both"/>
        <w:rPr>
          <w:rFonts w:ascii="Times New Roman" w:hAnsi="Times New Roman"/>
          <w:sz w:val="24"/>
          <w:szCs w:val="24"/>
          <w:shd w:val="clear" w:color="auto" w:fill="FFFFFF"/>
        </w:rPr>
      </w:pPr>
      <w:r w:rsidRPr="00F02E04">
        <w:rPr>
          <w:rFonts w:ascii="Times New Roman" w:hAnsi="Times New Roman"/>
          <w:sz w:val="24"/>
          <w:szCs w:val="24"/>
          <w:shd w:val="clear" w:color="auto" w:fill="FFFFFF"/>
        </w:rPr>
        <w:t xml:space="preserve">Different levels of management in an organization face different challenges and situations (Kundu et al., 2019). Therefore, when seeking measures and strategies to ensure that the organization thrives in all </w:t>
      </w:r>
      <w:r w:rsidR="00260F67" w:rsidRPr="00F02E04">
        <w:rPr>
          <w:rFonts w:ascii="Times New Roman" w:hAnsi="Times New Roman"/>
          <w:sz w:val="24"/>
          <w:szCs w:val="24"/>
          <w:shd w:val="clear" w:color="auto" w:fill="FFFFFF"/>
        </w:rPr>
        <w:t>sectors;</w:t>
      </w:r>
      <w:r w:rsidRPr="00F02E04">
        <w:rPr>
          <w:rFonts w:ascii="Times New Roman" w:hAnsi="Times New Roman"/>
          <w:sz w:val="24"/>
          <w:szCs w:val="24"/>
          <w:shd w:val="clear" w:color="auto" w:fill="FFFFFF"/>
        </w:rPr>
        <w:t xml:space="preserve"> all individuals should be involved to understand the specific challenges and shortcomings clearly. Failure to do so influences the organization’s culture of quality negatively. For instance, in this case, decision making is only left to executive level management. Thus, the quality of the agency’s services is based on the culture that only high-level management makes the decisions. As a result, the quality of the end product may not be of the perceived high quality since only a part of the agency is involved in the formulation of strategies to improve the quality of services (Kundu et al., 2019). Moreover, the organization’s culture of excellence is negatively influenced since it is limited to the judgment of a few selected individuals instead of being diverse and incorporating the views of </w:t>
      </w:r>
      <w:r w:rsidR="007E386D">
        <w:rPr>
          <w:rFonts w:ascii="Times New Roman" w:hAnsi="Times New Roman"/>
          <w:sz w:val="24"/>
          <w:szCs w:val="24"/>
          <w:shd w:val="clear" w:color="auto" w:fill="FFFFFF"/>
        </w:rPr>
        <w:t>all</w:t>
      </w:r>
      <w:r w:rsidRPr="00F02E04">
        <w:rPr>
          <w:rFonts w:ascii="Times New Roman" w:hAnsi="Times New Roman"/>
          <w:sz w:val="24"/>
          <w:szCs w:val="24"/>
          <w:shd w:val="clear" w:color="auto" w:fill="FFFFFF"/>
        </w:rPr>
        <w:t xml:space="preserve"> </w:t>
      </w:r>
      <w:r w:rsidR="00260F67" w:rsidRPr="00F02E04">
        <w:rPr>
          <w:rFonts w:ascii="Times New Roman" w:hAnsi="Times New Roman"/>
          <w:sz w:val="24"/>
          <w:szCs w:val="24"/>
          <w:shd w:val="clear" w:color="auto" w:fill="FFFFFF"/>
        </w:rPr>
        <w:t>management levels</w:t>
      </w:r>
      <w:r w:rsidRPr="00F02E04">
        <w:rPr>
          <w:rFonts w:ascii="Times New Roman" w:hAnsi="Times New Roman"/>
          <w:sz w:val="24"/>
          <w:szCs w:val="24"/>
          <w:shd w:val="clear" w:color="auto" w:fill="FFFFFF"/>
        </w:rPr>
        <w:t>.</w:t>
      </w:r>
    </w:p>
    <w:p w:rsidR="00824E88" w:rsidRPr="00DF5484" w:rsidRDefault="00DF5484" w:rsidP="00443175">
      <w:pPr>
        <w:spacing w:after="0" w:line="480" w:lineRule="auto"/>
        <w:contextualSpacing/>
        <w:jc w:val="center"/>
        <w:rPr>
          <w:rFonts w:ascii="Times New Roman" w:hAnsi="Times New Roman"/>
          <w:b/>
          <w:bCs/>
          <w:sz w:val="24"/>
          <w:szCs w:val="24"/>
          <w:shd w:val="clear" w:color="auto" w:fill="FFFFFF"/>
        </w:rPr>
      </w:pPr>
      <w:r w:rsidRPr="00DF5484">
        <w:rPr>
          <w:rFonts w:ascii="Times New Roman" w:hAnsi="Times New Roman"/>
          <w:b/>
          <w:bCs/>
          <w:sz w:val="24"/>
          <w:szCs w:val="24"/>
          <w:shd w:val="clear" w:color="auto" w:fill="FFFFFF"/>
        </w:rPr>
        <w:t>Recommendations</w:t>
      </w:r>
    </w:p>
    <w:p w:rsidR="00B43D63" w:rsidRPr="00B43D63" w:rsidRDefault="007517B4" w:rsidP="00443175">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Inclusivity in a</w:t>
      </w:r>
      <w:r w:rsidR="00B43D63" w:rsidRPr="00B43D63">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company</w:t>
      </w:r>
      <w:r w:rsidR="00B43D63" w:rsidRPr="00B43D63">
        <w:rPr>
          <w:rFonts w:ascii="Times New Roman" w:hAnsi="Times New Roman"/>
          <w:sz w:val="24"/>
          <w:szCs w:val="24"/>
          <w:shd w:val="clear" w:color="auto" w:fill="FFFFFF"/>
        </w:rPr>
        <w:t xml:space="preserve"> is vital to the achievement of its success and growth. Based on research, the inclusivity of all levels of management in an organization allows for the workforce to direct its emotions, commit their time and energy towards the advancement of the organization's initiatives (Kpakol, Obiora, &amp; Jaja, 2016). However, to achieve inclusivity, </w:t>
      </w:r>
      <w:r w:rsidR="00B43D63" w:rsidRPr="00B43D63">
        <w:rPr>
          <w:rFonts w:ascii="Times New Roman" w:hAnsi="Times New Roman"/>
          <w:sz w:val="24"/>
          <w:szCs w:val="24"/>
          <w:shd w:val="clear" w:color="auto" w:fill="FFFFFF"/>
        </w:rPr>
        <w:lastRenderedPageBreak/>
        <w:t xml:space="preserve">various changes are required to be implemented, more so, in the process of conducting activities in an organization, that is the culture. Besides, lack of workforce participation in an organization results in lost productivity, which costs the organization extra finances leading to losses. </w:t>
      </w:r>
    </w:p>
    <w:p w:rsidR="00B43D63" w:rsidRPr="00B43D63" w:rsidRDefault="00B43D63" w:rsidP="00443175">
      <w:pPr>
        <w:spacing w:after="0" w:line="480" w:lineRule="auto"/>
        <w:ind w:firstLine="720"/>
        <w:contextualSpacing/>
        <w:jc w:val="both"/>
        <w:rPr>
          <w:rFonts w:ascii="Times New Roman" w:hAnsi="Times New Roman"/>
          <w:sz w:val="24"/>
          <w:szCs w:val="24"/>
          <w:shd w:val="clear" w:color="auto" w:fill="FFFFFF"/>
        </w:rPr>
      </w:pPr>
      <w:r w:rsidRPr="00B43D63">
        <w:rPr>
          <w:rFonts w:ascii="Times New Roman" w:hAnsi="Times New Roman"/>
          <w:sz w:val="24"/>
          <w:szCs w:val="24"/>
          <w:shd w:val="clear" w:color="auto" w:fill="FFFFFF"/>
        </w:rPr>
        <w:t>One primary recommendation is redefining the roles of the executive level of management's roles through adding one more function, which is to enforce engagement of the rest of the workforce (Kundu et al., 2019). This can be achieved through another recommendation, which involves the alteration of the culture of the organization. More so, it will include the incorporation of accountability and trust in the culture of the organization. Therefore, the managers oversee the achievement of the specific roles assigned to the particular employees, and in case of any failure, they get to interact and understand the reasons behind the failures (Kemp, 2018). As a result, through this engagement, the rest of the workforce airs any challenges faced, provides suggestions for achieving their specific roles better, and are updated on any changes in their respective positions. Therefore, in the long run, inclusivity is achieved, and at the same time, the workforce feels more involved in the organization's decision-making.</w:t>
      </w:r>
    </w:p>
    <w:p w:rsidR="000848E0" w:rsidRDefault="00B43D63" w:rsidP="00443175">
      <w:pPr>
        <w:spacing w:after="0" w:line="480" w:lineRule="auto"/>
        <w:ind w:firstLine="720"/>
        <w:contextualSpacing/>
        <w:jc w:val="both"/>
        <w:rPr>
          <w:rFonts w:ascii="Times New Roman" w:hAnsi="Times New Roman"/>
          <w:sz w:val="24"/>
          <w:szCs w:val="24"/>
          <w:shd w:val="clear" w:color="auto" w:fill="FFFFFF"/>
        </w:rPr>
      </w:pPr>
      <w:r w:rsidRPr="00B43D63">
        <w:rPr>
          <w:rFonts w:ascii="Times New Roman" w:hAnsi="Times New Roman"/>
          <w:sz w:val="24"/>
          <w:szCs w:val="24"/>
          <w:shd w:val="clear" w:color="auto" w:fill="FFFFFF"/>
        </w:rPr>
        <w:t xml:space="preserve">Traditionally, the philosophy of quality was primarily based on the emphasis on data-driven decision making by incorporating the customer focus, employee empowerment, and continuous improvement (Kpakol, Obiora &amp; Jaja, 2016). Through the adoption of workforce participation in identifying problems and seeking mitigation measures will positively influence the philosophy of quality. More so, since there will be an additional consideration when it comes to achieving the goals and objectives. Besides, the ideas behind quality will also change from the organizational cultural level in the organization. Therefore, in the future, the agency will consider workforce participation in assessing its challenges and the development of mitigation </w:t>
      </w:r>
      <w:r w:rsidRPr="00B43D63">
        <w:rPr>
          <w:rFonts w:ascii="Times New Roman" w:hAnsi="Times New Roman"/>
          <w:sz w:val="24"/>
          <w:szCs w:val="24"/>
          <w:shd w:val="clear" w:color="auto" w:fill="FFFFFF"/>
        </w:rPr>
        <w:lastRenderedPageBreak/>
        <w:t>challenges. As a result, productivity will increase, which will influence the organization's cash flows through efficiency.</w:t>
      </w:r>
    </w:p>
    <w:p w:rsidR="00F15B2B" w:rsidRPr="00F15B2B" w:rsidRDefault="00F15B2B" w:rsidP="00443175">
      <w:pPr>
        <w:spacing w:after="0" w:line="480" w:lineRule="auto"/>
        <w:contextualSpacing/>
        <w:jc w:val="center"/>
        <w:rPr>
          <w:rFonts w:ascii="Times New Roman" w:hAnsi="Times New Roman"/>
          <w:b/>
          <w:bCs/>
          <w:sz w:val="24"/>
          <w:szCs w:val="24"/>
          <w:shd w:val="clear" w:color="auto" w:fill="FFFFFF"/>
        </w:rPr>
      </w:pPr>
      <w:r w:rsidRPr="00F15B2B">
        <w:rPr>
          <w:rFonts w:ascii="Times New Roman" w:hAnsi="Times New Roman"/>
          <w:b/>
          <w:bCs/>
          <w:sz w:val="24"/>
          <w:szCs w:val="24"/>
          <w:shd w:val="clear" w:color="auto" w:fill="FFFFFF"/>
        </w:rPr>
        <w:t>Process to have the recommendations considered</w:t>
      </w:r>
    </w:p>
    <w:p w:rsidR="00B43D63" w:rsidRPr="00B43D63" w:rsidRDefault="00B43D63" w:rsidP="00443175">
      <w:pPr>
        <w:spacing w:after="0" w:line="480" w:lineRule="auto"/>
        <w:ind w:firstLine="720"/>
        <w:contextualSpacing/>
        <w:jc w:val="both"/>
        <w:rPr>
          <w:rFonts w:ascii="Times New Roman" w:hAnsi="Times New Roman"/>
          <w:sz w:val="24"/>
          <w:szCs w:val="24"/>
          <w:shd w:val="clear" w:color="auto" w:fill="FFFFFF"/>
        </w:rPr>
      </w:pPr>
      <w:r w:rsidRPr="00B43D63">
        <w:rPr>
          <w:rFonts w:ascii="Times New Roman" w:hAnsi="Times New Roman"/>
          <w:sz w:val="24"/>
          <w:szCs w:val="24"/>
          <w:shd w:val="clear" w:color="auto" w:fill="FFFFFF"/>
        </w:rPr>
        <w:t xml:space="preserve">Since the strategic planning session in the agency is planned to occur in about two months, that provides an opportunity to put across the mentioned recommendations before the holding of the meeting. The initial stage of the process to have my ideas considered is by understanding my position in the agency, including my specific roles to avoid any conflicts. Once that is defined, then I proceed to identify the opportunity through which I can get an audience with executive level management without overstepping my defined roles. </w:t>
      </w:r>
    </w:p>
    <w:p w:rsidR="00B43D63" w:rsidRPr="00B43D63" w:rsidRDefault="00B43D63" w:rsidP="00443175">
      <w:pPr>
        <w:spacing w:after="0" w:line="480" w:lineRule="auto"/>
        <w:ind w:firstLine="720"/>
        <w:contextualSpacing/>
        <w:jc w:val="both"/>
        <w:rPr>
          <w:rFonts w:ascii="Times New Roman" w:hAnsi="Times New Roman"/>
          <w:sz w:val="24"/>
          <w:szCs w:val="24"/>
          <w:shd w:val="clear" w:color="auto" w:fill="FFFFFF"/>
        </w:rPr>
      </w:pPr>
      <w:r w:rsidRPr="00B43D63">
        <w:rPr>
          <w:rFonts w:ascii="Times New Roman" w:hAnsi="Times New Roman"/>
          <w:sz w:val="24"/>
          <w:szCs w:val="24"/>
          <w:shd w:val="clear" w:color="auto" w:fill="FFFFFF"/>
        </w:rPr>
        <w:t>As the quality director in middle management, it is my role to monitor the overall quality in middle management, including the workforce quality of performance and also the quality of services provided</w:t>
      </w:r>
      <w:r w:rsidR="007517B4">
        <w:rPr>
          <w:rFonts w:ascii="Times New Roman" w:hAnsi="Times New Roman"/>
          <w:sz w:val="24"/>
          <w:szCs w:val="24"/>
          <w:shd w:val="clear" w:color="auto" w:fill="FFFFFF"/>
        </w:rPr>
        <w:t xml:space="preserve"> </w:t>
      </w:r>
      <w:r w:rsidRPr="00B43D63">
        <w:rPr>
          <w:rFonts w:ascii="Times New Roman" w:hAnsi="Times New Roman"/>
          <w:sz w:val="24"/>
          <w:szCs w:val="24"/>
          <w:shd w:val="clear" w:color="auto" w:fill="FFFFFF"/>
        </w:rPr>
        <w:t>(</w:t>
      </w:r>
      <w:r w:rsidRPr="007A3C80">
        <w:rPr>
          <w:rFonts w:ascii="Times New Roman" w:hAnsi="Times New Roman"/>
          <w:sz w:val="24"/>
          <w:szCs w:val="24"/>
          <w:shd w:val="clear" w:color="auto" w:fill="FFFFFF"/>
        </w:rPr>
        <w:t>Kundu</w:t>
      </w:r>
      <w:r>
        <w:rPr>
          <w:rFonts w:ascii="Times New Roman" w:hAnsi="Times New Roman"/>
          <w:sz w:val="24"/>
          <w:szCs w:val="24"/>
          <w:shd w:val="clear" w:color="auto" w:fill="FFFFFF"/>
        </w:rPr>
        <w:t xml:space="preserve"> et al., 2019</w:t>
      </w:r>
      <w:r w:rsidRPr="00B43D63">
        <w:rPr>
          <w:rFonts w:ascii="Times New Roman" w:hAnsi="Times New Roman"/>
          <w:sz w:val="24"/>
          <w:szCs w:val="24"/>
          <w:shd w:val="clear" w:color="auto" w:fill="FFFFFF"/>
        </w:rPr>
        <w:t xml:space="preserve">). Therefore, this also offers a chance to provide reports on the quality assessment in the middle management, because I answer to the executive management on issues associated with the performance of my roles in the agency. Additionally, my position offers the opportunity to act as the bridge between the low-level and the top-level management, specifically on quality-related matters. Therefore, it is apparent that within my position in the agency, I can communicate some of the recommendations to </w:t>
      </w:r>
      <w:r w:rsidR="00260F67" w:rsidRPr="00B43D63">
        <w:rPr>
          <w:rFonts w:ascii="Times New Roman" w:hAnsi="Times New Roman"/>
          <w:sz w:val="24"/>
          <w:szCs w:val="24"/>
          <w:shd w:val="clear" w:color="auto" w:fill="FFFFFF"/>
        </w:rPr>
        <w:t xml:space="preserve">the </w:t>
      </w:r>
      <w:r w:rsidR="00260F67">
        <w:rPr>
          <w:rFonts w:ascii="Times New Roman" w:hAnsi="Times New Roman"/>
          <w:sz w:val="24"/>
          <w:szCs w:val="24"/>
          <w:shd w:val="clear" w:color="auto" w:fill="FFFFFF"/>
        </w:rPr>
        <w:t>executive</w:t>
      </w:r>
      <w:r w:rsidR="00B30FAF">
        <w:rPr>
          <w:rFonts w:ascii="Times New Roman" w:hAnsi="Times New Roman"/>
          <w:sz w:val="24"/>
          <w:szCs w:val="24"/>
          <w:shd w:val="clear" w:color="auto" w:fill="FFFFFF"/>
        </w:rPr>
        <w:t xml:space="preserve"> </w:t>
      </w:r>
      <w:r w:rsidRPr="00B43D63">
        <w:rPr>
          <w:rFonts w:ascii="Times New Roman" w:hAnsi="Times New Roman"/>
          <w:sz w:val="24"/>
          <w:szCs w:val="24"/>
          <w:shd w:val="clear" w:color="auto" w:fill="FFFFFF"/>
        </w:rPr>
        <w:t>level management.</w:t>
      </w:r>
    </w:p>
    <w:p w:rsidR="00B43D63" w:rsidRPr="00B43D63" w:rsidRDefault="00B43D63" w:rsidP="00443175">
      <w:pPr>
        <w:spacing w:after="0" w:line="480" w:lineRule="auto"/>
        <w:ind w:firstLine="720"/>
        <w:contextualSpacing/>
        <w:jc w:val="both"/>
        <w:rPr>
          <w:rFonts w:ascii="Times New Roman" w:hAnsi="Times New Roman"/>
          <w:sz w:val="24"/>
          <w:szCs w:val="24"/>
          <w:shd w:val="clear" w:color="auto" w:fill="FFFFFF"/>
        </w:rPr>
      </w:pPr>
      <w:r w:rsidRPr="00B43D63">
        <w:rPr>
          <w:rFonts w:ascii="Times New Roman" w:hAnsi="Times New Roman"/>
          <w:sz w:val="24"/>
          <w:szCs w:val="24"/>
          <w:shd w:val="clear" w:color="auto" w:fill="FFFFFF"/>
        </w:rPr>
        <w:t xml:space="preserve">Furthermore, understanding the boundaries to my influence in the organization provides the grounds to act. Therefore, the next step is to take advantage of my ground. For instance, since I provide reports on the quality assessment of middle-level management, I get the opportunity to have an audience with the top-level management. Therefore, in the process of carrying out my duties, I establish a concern regarding the improvement of the quality of workforce performance </w:t>
      </w:r>
      <w:r w:rsidRPr="00B43D63">
        <w:rPr>
          <w:rFonts w:ascii="Times New Roman" w:hAnsi="Times New Roman"/>
          <w:sz w:val="24"/>
          <w:szCs w:val="24"/>
          <w:shd w:val="clear" w:color="auto" w:fill="FFFFFF"/>
        </w:rPr>
        <w:lastRenderedPageBreak/>
        <w:t xml:space="preserve">and quality of services. The matter is then based on encouraging participation of the rest of the workforce through the three levels of management, including the middle-level and the low-level management levels. </w:t>
      </w:r>
    </w:p>
    <w:p w:rsidR="00B43D63" w:rsidRPr="00B43D63" w:rsidRDefault="00B43D63" w:rsidP="00443175">
      <w:pPr>
        <w:spacing w:after="0" w:line="480" w:lineRule="auto"/>
        <w:ind w:firstLine="720"/>
        <w:contextualSpacing/>
        <w:jc w:val="both"/>
        <w:rPr>
          <w:rFonts w:ascii="Times New Roman" w:hAnsi="Times New Roman"/>
          <w:sz w:val="24"/>
          <w:szCs w:val="24"/>
          <w:shd w:val="clear" w:color="auto" w:fill="FFFFFF"/>
        </w:rPr>
      </w:pPr>
      <w:r w:rsidRPr="00B43D63">
        <w:rPr>
          <w:rFonts w:ascii="Times New Roman" w:hAnsi="Times New Roman"/>
          <w:sz w:val="24"/>
          <w:szCs w:val="24"/>
          <w:shd w:val="clear" w:color="auto" w:fill="FFFFFF"/>
        </w:rPr>
        <w:t xml:space="preserve">However, putting across the recommendations is not enough to get them considered by the agency's decision-makers. Therefore, I outline some of the benefits of the engagement and inclusion of the whole agency's workforce in problem assessment of problems and the formulation of mitigation measures. One of the significant benefits is efficiency in the company's spending, which is achieved through increased productivity (Kpakol, Obiora, &amp; Jaja, 2016). Once all the organizations' positions are involved in the decision-making process, the empowerment given increases the overall morale; as a result, they gain increased job satisfaction, which then implicates in the quality of services provided by the agency. Another significant benefit is that the agency taps into some of the underlying internal resources made available by the human resource (Kundu et al., 2019). Therefore, instead of sourcing outside resources related to some of the internal challenges, human resources highly experienced and skilled in their specific positions provide the needed opinions. In the long run, the agency saves time and money by using these resources. </w:t>
      </w:r>
    </w:p>
    <w:p w:rsidR="00B43D63" w:rsidRDefault="00B43D63" w:rsidP="00443175">
      <w:pPr>
        <w:spacing w:after="0" w:line="480" w:lineRule="auto"/>
        <w:ind w:firstLine="720"/>
        <w:contextualSpacing/>
        <w:jc w:val="both"/>
        <w:rPr>
          <w:rFonts w:ascii="Times New Roman" w:hAnsi="Times New Roman"/>
          <w:sz w:val="24"/>
          <w:szCs w:val="24"/>
          <w:shd w:val="clear" w:color="auto" w:fill="FFFFFF"/>
        </w:rPr>
      </w:pPr>
      <w:r w:rsidRPr="00B43D63">
        <w:rPr>
          <w:rFonts w:ascii="Times New Roman" w:hAnsi="Times New Roman"/>
          <w:sz w:val="24"/>
          <w:szCs w:val="24"/>
          <w:shd w:val="clear" w:color="auto" w:fill="FFFFFF"/>
        </w:rPr>
        <w:t xml:space="preserve">In conclusion, strategic planning is essential in any organization, irrespective of its magnitude. Moreover, to establish an effective plan, there is the need to adopt the appropriate strategic planning tool. In this case, SWOT analysis is the most applicable since it aids in addressing the internal environment, including the strengths and weaknesses. As identified, lack of inclusion of the other part of the workforce is one of the identified vulnerabilities which should be addressed in the agency. Through adequate analysis, the weakness is converted to a </w:t>
      </w:r>
      <w:r w:rsidRPr="00B43D63">
        <w:rPr>
          <w:rFonts w:ascii="Times New Roman" w:hAnsi="Times New Roman"/>
          <w:sz w:val="24"/>
          <w:szCs w:val="24"/>
          <w:shd w:val="clear" w:color="auto" w:fill="FFFFFF"/>
        </w:rPr>
        <w:lastRenderedPageBreak/>
        <w:t>strength that allows the company to utilize its internal resources, which results in efficiency in the agency's operations, including its culture.</w:t>
      </w:r>
    </w:p>
    <w:p w:rsidR="00FA0283" w:rsidRDefault="00FA0283"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443175" w:rsidRDefault="00443175" w:rsidP="00443175">
      <w:pPr>
        <w:spacing w:after="0" w:line="480" w:lineRule="auto"/>
        <w:contextualSpacing/>
        <w:jc w:val="center"/>
        <w:rPr>
          <w:rFonts w:ascii="Times New Roman" w:hAnsi="Times New Roman"/>
          <w:sz w:val="24"/>
          <w:szCs w:val="24"/>
          <w:shd w:val="clear" w:color="auto" w:fill="FFFFFF"/>
        </w:rPr>
      </w:pPr>
    </w:p>
    <w:p w:rsidR="00087B62" w:rsidRPr="00121713" w:rsidRDefault="00D603E0" w:rsidP="00443175">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213013" w:rsidRPr="00213013" w:rsidRDefault="00213013" w:rsidP="00443175">
      <w:pPr>
        <w:spacing w:after="0" w:line="480" w:lineRule="auto"/>
        <w:ind w:left="720" w:hanging="720"/>
        <w:contextualSpacing/>
        <w:jc w:val="both"/>
        <w:rPr>
          <w:rFonts w:ascii="Times New Roman" w:hAnsi="Times New Roman"/>
          <w:sz w:val="24"/>
          <w:szCs w:val="24"/>
          <w:shd w:val="clear" w:color="auto" w:fill="FFFFFF"/>
        </w:rPr>
      </w:pPr>
      <w:r w:rsidRPr="00213013">
        <w:rPr>
          <w:rFonts w:ascii="Times New Roman" w:hAnsi="Times New Roman"/>
          <w:sz w:val="24"/>
          <w:szCs w:val="24"/>
          <w:shd w:val="clear" w:color="auto" w:fill="FFFFFF"/>
        </w:rPr>
        <w:t>Abdel-Basset, M., Mohamed, M., &amp; Smarandache, F. (2018). An extension of neutrosophic AHP–SWOT analysis for strategic planning and decision-making. </w:t>
      </w:r>
      <w:r w:rsidRPr="00213013">
        <w:rPr>
          <w:rFonts w:ascii="Times New Roman" w:hAnsi="Times New Roman"/>
          <w:i/>
          <w:iCs/>
          <w:sz w:val="24"/>
          <w:szCs w:val="24"/>
          <w:shd w:val="clear" w:color="auto" w:fill="FFFFFF"/>
        </w:rPr>
        <w:t>Symmetry</w:t>
      </w:r>
      <w:r w:rsidRPr="00213013">
        <w:rPr>
          <w:rFonts w:ascii="Times New Roman" w:hAnsi="Times New Roman"/>
          <w:sz w:val="24"/>
          <w:szCs w:val="24"/>
          <w:shd w:val="clear" w:color="auto" w:fill="FFFFFF"/>
        </w:rPr>
        <w:t>, </w:t>
      </w:r>
      <w:r w:rsidRPr="00213013">
        <w:rPr>
          <w:rFonts w:ascii="Times New Roman" w:hAnsi="Times New Roman"/>
          <w:i/>
          <w:iCs/>
          <w:sz w:val="24"/>
          <w:szCs w:val="24"/>
          <w:shd w:val="clear" w:color="auto" w:fill="FFFFFF"/>
        </w:rPr>
        <w:t>10</w:t>
      </w:r>
      <w:r w:rsidRPr="00213013">
        <w:rPr>
          <w:rFonts w:ascii="Times New Roman" w:hAnsi="Times New Roman"/>
          <w:sz w:val="24"/>
          <w:szCs w:val="24"/>
          <w:shd w:val="clear" w:color="auto" w:fill="FFFFFF"/>
        </w:rPr>
        <w:t>(4), 116.</w:t>
      </w:r>
    </w:p>
    <w:p w:rsidR="00D31C96" w:rsidRPr="00D31C96" w:rsidRDefault="00D31C96" w:rsidP="00443175">
      <w:pPr>
        <w:spacing w:after="0" w:line="480" w:lineRule="auto"/>
        <w:ind w:left="720" w:hanging="720"/>
        <w:contextualSpacing/>
        <w:jc w:val="both"/>
        <w:rPr>
          <w:rFonts w:ascii="Times New Roman" w:hAnsi="Times New Roman"/>
          <w:sz w:val="24"/>
          <w:szCs w:val="24"/>
          <w:shd w:val="clear" w:color="auto" w:fill="FFFFFF"/>
        </w:rPr>
      </w:pPr>
      <w:r w:rsidRPr="00D31C96">
        <w:rPr>
          <w:rFonts w:ascii="Times New Roman" w:hAnsi="Times New Roman"/>
          <w:sz w:val="24"/>
          <w:szCs w:val="24"/>
          <w:shd w:val="clear" w:color="auto" w:fill="FFFFFF"/>
        </w:rPr>
        <w:t>Gürel, E., &amp; Tat, M. (2017). SWOT analysis: a theoretical review. </w:t>
      </w:r>
      <w:r w:rsidRPr="00D31C96">
        <w:rPr>
          <w:rFonts w:ascii="Times New Roman" w:hAnsi="Times New Roman"/>
          <w:i/>
          <w:iCs/>
          <w:sz w:val="24"/>
          <w:szCs w:val="24"/>
          <w:shd w:val="clear" w:color="auto" w:fill="FFFFFF"/>
        </w:rPr>
        <w:t>Journal of International Social Research</w:t>
      </w:r>
      <w:r w:rsidRPr="00D31C96">
        <w:rPr>
          <w:rFonts w:ascii="Times New Roman" w:hAnsi="Times New Roman"/>
          <w:sz w:val="24"/>
          <w:szCs w:val="24"/>
          <w:shd w:val="clear" w:color="auto" w:fill="FFFFFF"/>
        </w:rPr>
        <w:t>, </w:t>
      </w:r>
      <w:r w:rsidRPr="00D31C96">
        <w:rPr>
          <w:rFonts w:ascii="Times New Roman" w:hAnsi="Times New Roman"/>
          <w:i/>
          <w:iCs/>
          <w:sz w:val="24"/>
          <w:szCs w:val="24"/>
          <w:shd w:val="clear" w:color="auto" w:fill="FFFFFF"/>
        </w:rPr>
        <w:t>10</w:t>
      </w:r>
      <w:r w:rsidRPr="00D31C96">
        <w:rPr>
          <w:rFonts w:ascii="Times New Roman" w:hAnsi="Times New Roman"/>
          <w:sz w:val="24"/>
          <w:szCs w:val="24"/>
          <w:shd w:val="clear" w:color="auto" w:fill="FFFFFF"/>
        </w:rPr>
        <w:t>(51).</w:t>
      </w:r>
    </w:p>
    <w:p w:rsidR="001319E4" w:rsidRPr="00D31C96" w:rsidRDefault="00AA4C00" w:rsidP="00443175">
      <w:pPr>
        <w:spacing w:after="0" w:line="480" w:lineRule="auto"/>
        <w:ind w:left="720" w:hanging="720"/>
        <w:contextualSpacing/>
        <w:jc w:val="both"/>
        <w:rPr>
          <w:rFonts w:ascii="Times New Roman" w:hAnsi="Times New Roman"/>
          <w:sz w:val="24"/>
          <w:szCs w:val="24"/>
          <w:shd w:val="clear" w:color="auto" w:fill="FFFFFF"/>
        </w:rPr>
      </w:pPr>
      <w:r w:rsidRPr="00D31C96">
        <w:rPr>
          <w:rFonts w:ascii="Times New Roman" w:hAnsi="Times New Roman"/>
          <w:sz w:val="24"/>
          <w:szCs w:val="24"/>
          <w:shd w:val="clear" w:color="auto" w:fill="FFFFFF"/>
        </w:rPr>
        <w:t>Kemp, R. L. (2018). </w:t>
      </w:r>
      <w:r w:rsidRPr="00D31C96">
        <w:rPr>
          <w:rFonts w:ascii="Times New Roman" w:hAnsi="Times New Roman"/>
          <w:i/>
          <w:iCs/>
          <w:sz w:val="24"/>
          <w:szCs w:val="24"/>
          <w:shd w:val="clear" w:color="auto" w:fill="FFFFFF"/>
        </w:rPr>
        <w:t>Strategic planning in local government</w:t>
      </w:r>
      <w:r w:rsidRPr="00D31C96">
        <w:rPr>
          <w:rFonts w:ascii="Times New Roman" w:hAnsi="Times New Roman"/>
          <w:sz w:val="24"/>
          <w:szCs w:val="24"/>
          <w:shd w:val="clear" w:color="auto" w:fill="FFFFFF"/>
        </w:rPr>
        <w:t>. Routledge.</w:t>
      </w:r>
    </w:p>
    <w:p w:rsidR="00C70B04" w:rsidRDefault="00C70B04" w:rsidP="00443175">
      <w:pPr>
        <w:spacing w:after="0" w:line="480" w:lineRule="auto"/>
        <w:ind w:left="720" w:hanging="720"/>
        <w:contextualSpacing/>
        <w:jc w:val="both"/>
        <w:rPr>
          <w:rFonts w:ascii="Times New Roman" w:hAnsi="Times New Roman"/>
          <w:sz w:val="24"/>
          <w:szCs w:val="24"/>
          <w:shd w:val="clear" w:color="auto" w:fill="FFFFFF"/>
        </w:rPr>
      </w:pPr>
      <w:r w:rsidRPr="00D31C96">
        <w:rPr>
          <w:rFonts w:ascii="Times New Roman" w:hAnsi="Times New Roman"/>
          <w:sz w:val="24"/>
          <w:szCs w:val="24"/>
          <w:shd w:val="clear" w:color="auto" w:fill="FFFFFF"/>
        </w:rPr>
        <w:t>Kpakol, A. G., Obiora, N. J., &amp; Jaja, S. A. (2016). Employee participation and organizational identification: implications of the mediating effect of organizational culture. </w:t>
      </w:r>
      <w:r w:rsidRPr="00D31C96">
        <w:rPr>
          <w:rFonts w:ascii="Times New Roman" w:hAnsi="Times New Roman"/>
          <w:i/>
          <w:iCs/>
          <w:sz w:val="24"/>
          <w:szCs w:val="24"/>
          <w:shd w:val="clear" w:color="auto" w:fill="FFFFFF"/>
        </w:rPr>
        <w:t>European Journal of Business and Management</w:t>
      </w:r>
      <w:r w:rsidRPr="00D31C96">
        <w:rPr>
          <w:rFonts w:ascii="Times New Roman" w:hAnsi="Times New Roman"/>
          <w:sz w:val="24"/>
          <w:szCs w:val="24"/>
          <w:shd w:val="clear" w:color="auto" w:fill="FFFFFF"/>
        </w:rPr>
        <w:t>, </w:t>
      </w:r>
      <w:r w:rsidRPr="00D31C96">
        <w:rPr>
          <w:rFonts w:ascii="Times New Roman" w:hAnsi="Times New Roman"/>
          <w:i/>
          <w:iCs/>
          <w:sz w:val="24"/>
          <w:szCs w:val="24"/>
          <w:shd w:val="clear" w:color="auto" w:fill="FFFFFF"/>
        </w:rPr>
        <w:t>8</w:t>
      </w:r>
      <w:r w:rsidRPr="00D31C96">
        <w:rPr>
          <w:rFonts w:ascii="Times New Roman" w:hAnsi="Times New Roman"/>
          <w:sz w:val="24"/>
          <w:szCs w:val="24"/>
          <w:shd w:val="clear" w:color="auto" w:fill="FFFFFF"/>
        </w:rPr>
        <w:t>(11), 32-44.</w:t>
      </w:r>
    </w:p>
    <w:p w:rsidR="007A3C80" w:rsidRPr="007A3C80" w:rsidRDefault="007A3C80" w:rsidP="00443175">
      <w:pPr>
        <w:spacing w:after="0" w:line="480" w:lineRule="auto"/>
        <w:ind w:left="720" w:hanging="720"/>
        <w:contextualSpacing/>
        <w:jc w:val="both"/>
        <w:rPr>
          <w:rFonts w:ascii="Times New Roman" w:hAnsi="Times New Roman"/>
          <w:sz w:val="24"/>
          <w:szCs w:val="24"/>
          <w:shd w:val="clear" w:color="auto" w:fill="FFFFFF"/>
        </w:rPr>
      </w:pPr>
      <w:r w:rsidRPr="007A3C80">
        <w:rPr>
          <w:rFonts w:ascii="Times New Roman" w:hAnsi="Times New Roman"/>
          <w:sz w:val="24"/>
          <w:szCs w:val="24"/>
          <w:shd w:val="clear" w:color="auto" w:fill="FFFFFF"/>
        </w:rPr>
        <w:t>Kundu, S. C., Mor, A., Kumar, S., &amp; Bansal, J. (2019). Diversity within management levels and organizational performance: employees’ perspective. </w:t>
      </w:r>
      <w:r w:rsidRPr="007A3C80">
        <w:rPr>
          <w:rFonts w:ascii="Times New Roman" w:hAnsi="Times New Roman"/>
          <w:i/>
          <w:iCs/>
          <w:sz w:val="24"/>
          <w:szCs w:val="24"/>
          <w:shd w:val="clear" w:color="auto" w:fill="FFFFFF"/>
        </w:rPr>
        <w:t>Journal of Advances in Management Research</w:t>
      </w:r>
      <w:r w:rsidRPr="007A3C80">
        <w:rPr>
          <w:rFonts w:ascii="Times New Roman" w:hAnsi="Times New Roman"/>
          <w:sz w:val="24"/>
          <w:szCs w:val="24"/>
          <w:shd w:val="clear" w:color="auto" w:fill="FFFFFF"/>
        </w:rPr>
        <w:t>.</w:t>
      </w:r>
    </w:p>
    <w:sectPr w:rsidR="007A3C80" w:rsidRPr="007A3C80" w:rsidSect="00127B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6320" w:rsidRDefault="00A56320">
      <w:r>
        <w:separator/>
      </w:r>
    </w:p>
  </w:endnote>
  <w:endnote w:type="continuationSeparator" w:id="1">
    <w:p w:rsidR="00A56320" w:rsidRDefault="00A563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6320" w:rsidRDefault="00A56320">
      <w:r>
        <w:separator/>
      </w:r>
    </w:p>
  </w:footnote>
  <w:footnote w:type="continuationSeparator" w:id="1">
    <w:p w:rsidR="00A56320" w:rsidRDefault="00A563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0855D5">
    <w:pPr>
      <w:spacing w:after="0" w:line="480" w:lineRule="auto"/>
      <w:contextualSpacing/>
      <w:rPr>
        <w:rFonts w:ascii="Times New Roman" w:hAnsi="Times New Roman"/>
      </w:rPr>
    </w:pPr>
    <w:r>
      <w:rPr>
        <w:rFonts w:ascii="Times New Roman" w:hAnsi="Times New Roman"/>
        <w:sz w:val="24"/>
      </w:rPr>
      <w:t>STRATEGIC PLANNING</w:t>
    </w:r>
    <w:r w:rsidR="00443175">
      <w:rPr>
        <w:rFonts w:ascii="Times New Roman" w:hAnsi="Times New Roman"/>
        <w:sz w:val="24"/>
      </w:rPr>
      <w:t xml:space="preserve">                                                                                                          </w:t>
    </w:r>
    <w:r w:rsidR="00E602D7"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E602D7" w:rsidRPr="00A40055">
      <w:rPr>
        <w:rFonts w:ascii="Times New Roman" w:hAnsi="Times New Roman"/>
        <w:sz w:val="24"/>
        <w:szCs w:val="24"/>
      </w:rPr>
      <w:fldChar w:fldCharType="separate"/>
    </w:r>
    <w:r w:rsidR="00260F67">
      <w:rPr>
        <w:rFonts w:ascii="Times New Roman" w:hAnsi="Times New Roman"/>
        <w:noProof/>
        <w:sz w:val="24"/>
        <w:szCs w:val="24"/>
      </w:rPr>
      <w:t>8</w:t>
    </w:r>
    <w:r w:rsidR="00E602D7"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443175">
      <w:rPr>
        <w:rFonts w:ascii="Times New Roman" w:hAnsi="Times New Roman"/>
        <w:sz w:val="24"/>
      </w:rPr>
      <w:t xml:space="preserve"> </w:t>
    </w:r>
    <w:r w:rsidR="000855D5">
      <w:rPr>
        <w:rFonts w:ascii="Times New Roman" w:hAnsi="Times New Roman"/>
        <w:sz w:val="24"/>
      </w:rPr>
      <w:t>STRATEGIC PLANNING</w:t>
    </w:r>
    <w:r w:rsidR="00443175">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6448E"/>
    <w:rsid w:val="00066854"/>
    <w:rsid w:val="000751B3"/>
    <w:rsid w:val="00080FCD"/>
    <w:rsid w:val="000848E0"/>
    <w:rsid w:val="000855D5"/>
    <w:rsid w:val="00087B62"/>
    <w:rsid w:val="000963AF"/>
    <w:rsid w:val="000A0B73"/>
    <w:rsid w:val="000A73AB"/>
    <w:rsid w:val="000B2AB8"/>
    <w:rsid w:val="000C0072"/>
    <w:rsid w:val="000C1B71"/>
    <w:rsid w:val="000C237D"/>
    <w:rsid w:val="000C5BB3"/>
    <w:rsid w:val="000D4EA4"/>
    <w:rsid w:val="000F2717"/>
    <w:rsid w:val="000F5A80"/>
    <w:rsid w:val="000F5B61"/>
    <w:rsid w:val="00100EB3"/>
    <w:rsid w:val="00107E33"/>
    <w:rsid w:val="00107F64"/>
    <w:rsid w:val="001111DD"/>
    <w:rsid w:val="00113FFC"/>
    <w:rsid w:val="00121713"/>
    <w:rsid w:val="00127BD1"/>
    <w:rsid w:val="00127D04"/>
    <w:rsid w:val="0013043C"/>
    <w:rsid w:val="00130868"/>
    <w:rsid w:val="001319E4"/>
    <w:rsid w:val="00142246"/>
    <w:rsid w:val="0015018F"/>
    <w:rsid w:val="00150263"/>
    <w:rsid w:val="00150877"/>
    <w:rsid w:val="00154E03"/>
    <w:rsid w:val="00162C0E"/>
    <w:rsid w:val="00172387"/>
    <w:rsid w:val="001772CB"/>
    <w:rsid w:val="001846CC"/>
    <w:rsid w:val="00194F22"/>
    <w:rsid w:val="001A2AE1"/>
    <w:rsid w:val="001B216D"/>
    <w:rsid w:val="001B321C"/>
    <w:rsid w:val="001C2E74"/>
    <w:rsid w:val="001D149A"/>
    <w:rsid w:val="001D36B0"/>
    <w:rsid w:val="001E390F"/>
    <w:rsid w:val="001F1992"/>
    <w:rsid w:val="001F545C"/>
    <w:rsid w:val="00213013"/>
    <w:rsid w:val="00223D21"/>
    <w:rsid w:val="00233A28"/>
    <w:rsid w:val="00250A6A"/>
    <w:rsid w:val="0025679E"/>
    <w:rsid w:val="00260F67"/>
    <w:rsid w:val="0026126C"/>
    <w:rsid w:val="002678CF"/>
    <w:rsid w:val="00273047"/>
    <w:rsid w:val="002817EC"/>
    <w:rsid w:val="002B1754"/>
    <w:rsid w:val="002D4C10"/>
    <w:rsid w:val="002E220C"/>
    <w:rsid w:val="002E6711"/>
    <w:rsid w:val="002F2034"/>
    <w:rsid w:val="003073D4"/>
    <w:rsid w:val="003154AA"/>
    <w:rsid w:val="00331AEF"/>
    <w:rsid w:val="00337292"/>
    <w:rsid w:val="003402EC"/>
    <w:rsid w:val="00346DC6"/>
    <w:rsid w:val="00367AF5"/>
    <w:rsid w:val="003843FE"/>
    <w:rsid w:val="00386807"/>
    <w:rsid w:val="003A6485"/>
    <w:rsid w:val="003B1F26"/>
    <w:rsid w:val="003B3C46"/>
    <w:rsid w:val="003D6FDA"/>
    <w:rsid w:val="003D7A28"/>
    <w:rsid w:val="003E00E5"/>
    <w:rsid w:val="003E61D8"/>
    <w:rsid w:val="003E7CB9"/>
    <w:rsid w:val="0043300C"/>
    <w:rsid w:val="00443175"/>
    <w:rsid w:val="004447C1"/>
    <w:rsid w:val="00445BAB"/>
    <w:rsid w:val="00453EA3"/>
    <w:rsid w:val="00464473"/>
    <w:rsid w:val="00470CCD"/>
    <w:rsid w:val="00475DDA"/>
    <w:rsid w:val="00476D75"/>
    <w:rsid w:val="00477C60"/>
    <w:rsid w:val="004B53A6"/>
    <w:rsid w:val="004C294C"/>
    <w:rsid w:val="004C5A88"/>
    <w:rsid w:val="004D546F"/>
    <w:rsid w:val="0051352D"/>
    <w:rsid w:val="005228D4"/>
    <w:rsid w:val="0052453D"/>
    <w:rsid w:val="005421E9"/>
    <w:rsid w:val="00556284"/>
    <w:rsid w:val="005737A3"/>
    <w:rsid w:val="00590923"/>
    <w:rsid w:val="00593461"/>
    <w:rsid w:val="00594025"/>
    <w:rsid w:val="00594C25"/>
    <w:rsid w:val="005E4B17"/>
    <w:rsid w:val="005F690D"/>
    <w:rsid w:val="006038FD"/>
    <w:rsid w:val="00615DD7"/>
    <w:rsid w:val="0062080D"/>
    <w:rsid w:val="00623CA6"/>
    <w:rsid w:val="00624D78"/>
    <w:rsid w:val="00635F05"/>
    <w:rsid w:val="00647527"/>
    <w:rsid w:val="00650202"/>
    <w:rsid w:val="00657345"/>
    <w:rsid w:val="00663437"/>
    <w:rsid w:val="006717A9"/>
    <w:rsid w:val="0067277B"/>
    <w:rsid w:val="00674D0D"/>
    <w:rsid w:val="006825EE"/>
    <w:rsid w:val="0068574F"/>
    <w:rsid w:val="006A0524"/>
    <w:rsid w:val="006C23C0"/>
    <w:rsid w:val="006D2CEE"/>
    <w:rsid w:val="00713893"/>
    <w:rsid w:val="0072201B"/>
    <w:rsid w:val="00741B87"/>
    <w:rsid w:val="00750B43"/>
    <w:rsid w:val="007517B4"/>
    <w:rsid w:val="00772645"/>
    <w:rsid w:val="00775D4C"/>
    <w:rsid w:val="00781B4A"/>
    <w:rsid w:val="00782271"/>
    <w:rsid w:val="00786BE5"/>
    <w:rsid w:val="00792AA3"/>
    <w:rsid w:val="00797196"/>
    <w:rsid w:val="007A3C80"/>
    <w:rsid w:val="007B2C2F"/>
    <w:rsid w:val="007B3261"/>
    <w:rsid w:val="007B3937"/>
    <w:rsid w:val="007B4DB9"/>
    <w:rsid w:val="007B5318"/>
    <w:rsid w:val="007B7F51"/>
    <w:rsid w:val="007E386D"/>
    <w:rsid w:val="00802E45"/>
    <w:rsid w:val="00823188"/>
    <w:rsid w:val="00824E88"/>
    <w:rsid w:val="00836AB8"/>
    <w:rsid w:val="00837038"/>
    <w:rsid w:val="00841C1B"/>
    <w:rsid w:val="0085790F"/>
    <w:rsid w:val="0087747F"/>
    <w:rsid w:val="0088582E"/>
    <w:rsid w:val="008958BF"/>
    <w:rsid w:val="008A3090"/>
    <w:rsid w:val="008B0663"/>
    <w:rsid w:val="008C52FE"/>
    <w:rsid w:val="008D2B08"/>
    <w:rsid w:val="008D306B"/>
    <w:rsid w:val="00912880"/>
    <w:rsid w:val="00932206"/>
    <w:rsid w:val="0093408A"/>
    <w:rsid w:val="00940859"/>
    <w:rsid w:val="00961A71"/>
    <w:rsid w:val="009626E1"/>
    <w:rsid w:val="0096275F"/>
    <w:rsid w:val="0097031F"/>
    <w:rsid w:val="0097743E"/>
    <w:rsid w:val="0098219A"/>
    <w:rsid w:val="009829DF"/>
    <w:rsid w:val="009863AA"/>
    <w:rsid w:val="00990684"/>
    <w:rsid w:val="009930A4"/>
    <w:rsid w:val="0099459D"/>
    <w:rsid w:val="009A27AD"/>
    <w:rsid w:val="009C35AA"/>
    <w:rsid w:val="009F1153"/>
    <w:rsid w:val="00A016F0"/>
    <w:rsid w:val="00A36FD6"/>
    <w:rsid w:val="00A40055"/>
    <w:rsid w:val="00A56320"/>
    <w:rsid w:val="00A63EE1"/>
    <w:rsid w:val="00A6594B"/>
    <w:rsid w:val="00A82C60"/>
    <w:rsid w:val="00A8383B"/>
    <w:rsid w:val="00A86DE1"/>
    <w:rsid w:val="00A91FFF"/>
    <w:rsid w:val="00A943A6"/>
    <w:rsid w:val="00A96E99"/>
    <w:rsid w:val="00AA1F0D"/>
    <w:rsid w:val="00AA4C00"/>
    <w:rsid w:val="00AC1AFF"/>
    <w:rsid w:val="00AE2342"/>
    <w:rsid w:val="00AF7194"/>
    <w:rsid w:val="00B1648E"/>
    <w:rsid w:val="00B17BD2"/>
    <w:rsid w:val="00B30FAF"/>
    <w:rsid w:val="00B35627"/>
    <w:rsid w:val="00B40DBF"/>
    <w:rsid w:val="00B43D63"/>
    <w:rsid w:val="00B53893"/>
    <w:rsid w:val="00B65F4D"/>
    <w:rsid w:val="00B71060"/>
    <w:rsid w:val="00B81460"/>
    <w:rsid w:val="00BA5628"/>
    <w:rsid w:val="00BB541B"/>
    <w:rsid w:val="00BD1054"/>
    <w:rsid w:val="00BE28DE"/>
    <w:rsid w:val="00BF386D"/>
    <w:rsid w:val="00C16BB4"/>
    <w:rsid w:val="00C16ECA"/>
    <w:rsid w:val="00C215D5"/>
    <w:rsid w:val="00C414E2"/>
    <w:rsid w:val="00C46565"/>
    <w:rsid w:val="00C46869"/>
    <w:rsid w:val="00C52312"/>
    <w:rsid w:val="00C70B04"/>
    <w:rsid w:val="00C7314B"/>
    <w:rsid w:val="00C82778"/>
    <w:rsid w:val="00C8604C"/>
    <w:rsid w:val="00CA5D31"/>
    <w:rsid w:val="00CB1A62"/>
    <w:rsid w:val="00CD2FA1"/>
    <w:rsid w:val="00D0351B"/>
    <w:rsid w:val="00D05E52"/>
    <w:rsid w:val="00D104A1"/>
    <w:rsid w:val="00D14E94"/>
    <w:rsid w:val="00D177C8"/>
    <w:rsid w:val="00D300DB"/>
    <w:rsid w:val="00D3035F"/>
    <w:rsid w:val="00D31C96"/>
    <w:rsid w:val="00D4031C"/>
    <w:rsid w:val="00D4336A"/>
    <w:rsid w:val="00D573A8"/>
    <w:rsid w:val="00D603E0"/>
    <w:rsid w:val="00D61AA0"/>
    <w:rsid w:val="00D630E1"/>
    <w:rsid w:val="00D63983"/>
    <w:rsid w:val="00D639C8"/>
    <w:rsid w:val="00DA1644"/>
    <w:rsid w:val="00DA30CF"/>
    <w:rsid w:val="00DA4CC0"/>
    <w:rsid w:val="00DF5484"/>
    <w:rsid w:val="00DF770E"/>
    <w:rsid w:val="00E06003"/>
    <w:rsid w:val="00E27244"/>
    <w:rsid w:val="00E4232C"/>
    <w:rsid w:val="00E602D7"/>
    <w:rsid w:val="00EA2F95"/>
    <w:rsid w:val="00EA4D0D"/>
    <w:rsid w:val="00EB3DFB"/>
    <w:rsid w:val="00EC1E7D"/>
    <w:rsid w:val="00EC5C3B"/>
    <w:rsid w:val="00EE2423"/>
    <w:rsid w:val="00EF02CB"/>
    <w:rsid w:val="00F00438"/>
    <w:rsid w:val="00F02E04"/>
    <w:rsid w:val="00F137B6"/>
    <w:rsid w:val="00F15B2B"/>
    <w:rsid w:val="00F16465"/>
    <w:rsid w:val="00F223FC"/>
    <w:rsid w:val="00F2391A"/>
    <w:rsid w:val="00F24F02"/>
    <w:rsid w:val="00F41864"/>
    <w:rsid w:val="00F52648"/>
    <w:rsid w:val="00F80973"/>
    <w:rsid w:val="00F87BF7"/>
    <w:rsid w:val="00F87FBE"/>
    <w:rsid w:val="00F95278"/>
    <w:rsid w:val="00FA0283"/>
    <w:rsid w:val="00FE6689"/>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7BD1"/>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27BD1"/>
    <w:rPr>
      <w:rFonts w:ascii="Symbol" w:hAnsi="Symbol" w:cs="Symbol" w:hint="default"/>
    </w:rPr>
  </w:style>
  <w:style w:type="character" w:customStyle="1" w:styleId="WW8Num1z1">
    <w:name w:val="WW8Num1z1"/>
    <w:rsid w:val="00127BD1"/>
    <w:rPr>
      <w:rFonts w:ascii="Courier New" w:hAnsi="Courier New" w:cs="Courier New" w:hint="default"/>
    </w:rPr>
  </w:style>
  <w:style w:type="character" w:customStyle="1" w:styleId="WW8Num1z2">
    <w:name w:val="WW8Num1z2"/>
    <w:rsid w:val="00127BD1"/>
    <w:rPr>
      <w:rFonts w:ascii="Wingdings" w:hAnsi="Wingdings" w:cs="Wingdings" w:hint="default"/>
    </w:rPr>
  </w:style>
  <w:style w:type="character" w:customStyle="1" w:styleId="3">
    <w:name w:val="Основной шрифт абзаца3"/>
    <w:rsid w:val="00127BD1"/>
  </w:style>
  <w:style w:type="character" w:customStyle="1" w:styleId="5">
    <w:name w:val="Знак Знак5"/>
    <w:rsid w:val="00127BD1"/>
    <w:rPr>
      <w:sz w:val="22"/>
      <w:szCs w:val="22"/>
      <w:lang w:val="en-US"/>
    </w:rPr>
  </w:style>
  <w:style w:type="character" w:customStyle="1" w:styleId="4">
    <w:name w:val="Знак Знак4"/>
    <w:rsid w:val="00127BD1"/>
    <w:rPr>
      <w:sz w:val="22"/>
      <w:szCs w:val="22"/>
      <w:lang w:val="en-US"/>
    </w:rPr>
  </w:style>
  <w:style w:type="character" w:customStyle="1" w:styleId="30">
    <w:name w:val="Знак Знак3"/>
    <w:rsid w:val="00127BD1"/>
    <w:rPr>
      <w:rFonts w:ascii="Tahoma" w:hAnsi="Tahoma" w:cs="Tahoma"/>
      <w:sz w:val="16"/>
      <w:szCs w:val="16"/>
      <w:lang w:val="en-US"/>
    </w:rPr>
  </w:style>
  <w:style w:type="character" w:customStyle="1" w:styleId="2">
    <w:name w:val="Знак примечания2"/>
    <w:rsid w:val="00127BD1"/>
    <w:rPr>
      <w:sz w:val="16"/>
      <w:szCs w:val="16"/>
    </w:rPr>
  </w:style>
  <w:style w:type="character" w:customStyle="1" w:styleId="20">
    <w:name w:val="Знак Знак2"/>
    <w:rsid w:val="00127BD1"/>
    <w:rPr>
      <w:lang w:val="en-US"/>
    </w:rPr>
  </w:style>
  <w:style w:type="character" w:customStyle="1" w:styleId="1">
    <w:name w:val="Знак Знак1"/>
    <w:rsid w:val="00127BD1"/>
    <w:rPr>
      <w:b/>
      <w:bCs/>
      <w:lang w:val="en-US"/>
    </w:rPr>
  </w:style>
  <w:style w:type="character" w:customStyle="1" w:styleId="10">
    <w:name w:val="Основной шрифт абзаца1"/>
    <w:rsid w:val="00127BD1"/>
  </w:style>
  <w:style w:type="character" w:customStyle="1" w:styleId="21">
    <w:name w:val="Основной шрифт абзаца2"/>
    <w:rsid w:val="00127BD1"/>
  </w:style>
  <w:style w:type="character" w:customStyle="1" w:styleId="FooterChar">
    <w:name w:val="Footer Char"/>
    <w:rsid w:val="00127BD1"/>
    <w:rPr>
      <w:rFonts w:ascii="Times New Roman" w:eastAsia="Times New Roman" w:hAnsi="Times New Roman" w:cs="Times New Roman"/>
      <w:sz w:val="24"/>
      <w:szCs w:val="24"/>
      <w:lang w:val="ru-RU"/>
    </w:rPr>
  </w:style>
  <w:style w:type="character" w:customStyle="1" w:styleId="11">
    <w:name w:val="Знак примечания1"/>
    <w:rsid w:val="00127BD1"/>
    <w:rPr>
      <w:sz w:val="16"/>
      <w:szCs w:val="16"/>
    </w:rPr>
  </w:style>
  <w:style w:type="character" w:customStyle="1" w:styleId="CommentTextChar">
    <w:name w:val="Comment Text Char"/>
    <w:rsid w:val="00127BD1"/>
    <w:rPr>
      <w:rFonts w:ascii="Times New Roman" w:eastAsia="Times New Roman" w:hAnsi="Times New Roman" w:cs="Times New Roman"/>
      <w:sz w:val="20"/>
      <w:szCs w:val="20"/>
      <w:lang w:val="ru-RU"/>
    </w:rPr>
  </w:style>
  <w:style w:type="character" w:customStyle="1" w:styleId="CommentSubjectChar">
    <w:name w:val="Comment Subject Char"/>
    <w:rsid w:val="00127BD1"/>
    <w:rPr>
      <w:rFonts w:ascii="Times New Roman" w:eastAsia="Times New Roman" w:hAnsi="Times New Roman" w:cs="Times New Roman"/>
      <w:b/>
      <w:bCs/>
      <w:sz w:val="20"/>
      <w:szCs w:val="20"/>
      <w:lang w:val="ru-RU"/>
    </w:rPr>
  </w:style>
  <w:style w:type="character" w:customStyle="1" w:styleId="BalloonTextChar">
    <w:name w:val="Balloon Text Char"/>
    <w:rsid w:val="00127BD1"/>
    <w:rPr>
      <w:rFonts w:ascii="Tahoma" w:eastAsia="Times New Roman" w:hAnsi="Tahoma" w:cs="Tahoma"/>
      <w:sz w:val="16"/>
      <w:szCs w:val="16"/>
      <w:lang w:val="ru-RU"/>
    </w:rPr>
  </w:style>
  <w:style w:type="character" w:customStyle="1" w:styleId="HeaderChar">
    <w:name w:val="Header Char"/>
    <w:rsid w:val="00127BD1"/>
    <w:rPr>
      <w:rFonts w:ascii="Times New Roman" w:eastAsia="Times New Roman" w:hAnsi="Times New Roman" w:cs="Times New Roman"/>
      <w:sz w:val="24"/>
      <w:szCs w:val="24"/>
      <w:lang w:val="ru-RU"/>
    </w:rPr>
  </w:style>
  <w:style w:type="character" w:customStyle="1" w:styleId="FootnoteTextChar">
    <w:name w:val="Footnote Text Char"/>
    <w:rsid w:val="00127BD1"/>
    <w:rPr>
      <w:rFonts w:ascii="Times New Roman" w:eastAsia="Times New Roman" w:hAnsi="Times New Roman" w:cs="Times New Roman"/>
      <w:lang w:val="ru-RU"/>
    </w:rPr>
  </w:style>
  <w:style w:type="character" w:customStyle="1" w:styleId="12">
    <w:name w:val="Знак сноски1"/>
    <w:rsid w:val="00127BD1"/>
    <w:rPr>
      <w:vertAlign w:val="superscript"/>
    </w:rPr>
  </w:style>
  <w:style w:type="character" w:styleId="Hyperlink">
    <w:name w:val="Hyperlink"/>
    <w:rsid w:val="00127BD1"/>
    <w:rPr>
      <w:color w:val="0000FF"/>
      <w:u w:val="single"/>
      <w:lang w:val="en-US" w:bidi="en-US"/>
    </w:rPr>
  </w:style>
  <w:style w:type="character" w:customStyle="1" w:styleId="ListLabel1">
    <w:name w:val="ListLabel 1"/>
    <w:rsid w:val="00127BD1"/>
    <w:rPr>
      <w:rFonts w:eastAsia="Times New Roman" w:cs="Times New Roman"/>
    </w:rPr>
  </w:style>
  <w:style w:type="character" w:customStyle="1" w:styleId="ListLabel2">
    <w:name w:val="ListLabel 2"/>
    <w:rsid w:val="00127BD1"/>
    <w:rPr>
      <w:rFonts w:cs="Courier New"/>
    </w:rPr>
  </w:style>
  <w:style w:type="character" w:customStyle="1" w:styleId="a">
    <w:name w:val="Знак Знак"/>
    <w:rsid w:val="00127BD1"/>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127BD1"/>
  </w:style>
  <w:style w:type="character" w:customStyle="1" w:styleId="selectable">
    <w:name w:val="selectable"/>
    <w:rsid w:val="00127BD1"/>
  </w:style>
  <w:style w:type="character" w:styleId="Strong">
    <w:name w:val="Strong"/>
    <w:qFormat/>
    <w:rsid w:val="00127BD1"/>
    <w:rPr>
      <w:b/>
      <w:bCs/>
    </w:rPr>
  </w:style>
  <w:style w:type="paragraph" w:customStyle="1" w:styleId="13">
    <w:name w:val="Заголовок1"/>
    <w:basedOn w:val="Normal"/>
    <w:next w:val="BodyText"/>
    <w:rsid w:val="00127BD1"/>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127BD1"/>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127BD1"/>
    <w:rPr>
      <w:rFonts w:cs="Lohit Hindi"/>
    </w:rPr>
  </w:style>
  <w:style w:type="paragraph" w:styleId="Caption">
    <w:name w:val="caption"/>
    <w:basedOn w:val="Normal"/>
    <w:qFormat/>
    <w:rsid w:val="00127BD1"/>
    <w:pPr>
      <w:suppressLineNumbers/>
      <w:spacing w:before="120" w:after="120"/>
    </w:pPr>
    <w:rPr>
      <w:rFonts w:cs="Arial"/>
      <w:i/>
      <w:iCs/>
      <w:sz w:val="24"/>
      <w:szCs w:val="24"/>
    </w:rPr>
  </w:style>
  <w:style w:type="paragraph" w:customStyle="1" w:styleId="a0">
    <w:name w:val="Покажчик"/>
    <w:basedOn w:val="Normal"/>
    <w:rsid w:val="00127BD1"/>
    <w:pPr>
      <w:suppressLineNumbers/>
    </w:pPr>
    <w:rPr>
      <w:rFonts w:cs="Arial"/>
    </w:rPr>
  </w:style>
  <w:style w:type="paragraph" w:styleId="Header">
    <w:name w:val="header"/>
    <w:basedOn w:val="Normal"/>
    <w:link w:val="HeaderChar1"/>
    <w:uiPriority w:val="99"/>
    <w:rsid w:val="00127BD1"/>
    <w:pPr>
      <w:spacing w:after="0" w:line="240" w:lineRule="auto"/>
    </w:pPr>
  </w:style>
  <w:style w:type="paragraph" w:styleId="Footer">
    <w:name w:val="footer"/>
    <w:basedOn w:val="Normal"/>
    <w:rsid w:val="00127BD1"/>
    <w:pPr>
      <w:spacing w:after="0" w:line="240" w:lineRule="auto"/>
    </w:pPr>
  </w:style>
  <w:style w:type="paragraph" w:styleId="BalloonText">
    <w:name w:val="Balloon Text"/>
    <w:basedOn w:val="Normal"/>
    <w:rsid w:val="00127BD1"/>
    <w:pPr>
      <w:spacing w:after="0" w:line="240" w:lineRule="auto"/>
    </w:pPr>
    <w:rPr>
      <w:rFonts w:ascii="Tahoma" w:hAnsi="Tahoma" w:cs="Tahoma"/>
      <w:sz w:val="16"/>
      <w:szCs w:val="16"/>
    </w:rPr>
  </w:style>
  <w:style w:type="paragraph" w:customStyle="1" w:styleId="22">
    <w:name w:val="Текст примечания2"/>
    <w:basedOn w:val="Normal"/>
    <w:rsid w:val="00127BD1"/>
    <w:rPr>
      <w:sz w:val="20"/>
      <w:szCs w:val="20"/>
    </w:rPr>
  </w:style>
  <w:style w:type="paragraph" w:styleId="CommentSubject">
    <w:name w:val="annotation subject"/>
    <w:basedOn w:val="22"/>
    <w:next w:val="22"/>
    <w:rsid w:val="00127BD1"/>
    <w:rPr>
      <w:b/>
      <w:bCs/>
    </w:rPr>
  </w:style>
  <w:style w:type="paragraph" w:customStyle="1" w:styleId="14">
    <w:name w:val="Название1"/>
    <w:basedOn w:val="Normal"/>
    <w:rsid w:val="00127BD1"/>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127BD1"/>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127BD1"/>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127BD1"/>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127BD1"/>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127BD1"/>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127BD1"/>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127BD1"/>
    <w:rPr>
      <w:b/>
      <w:bCs/>
    </w:rPr>
  </w:style>
  <w:style w:type="paragraph" w:customStyle="1" w:styleId="1a">
    <w:name w:val="Текст выноски1"/>
    <w:basedOn w:val="Normal"/>
    <w:rsid w:val="00127BD1"/>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127BD1"/>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127BD1"/>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127BD1"/>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1622</Words>
  <Characters>9246</Characters>
  <Application>Microsoft Office Word</Application>
  <DocSecurity>0</DocSecurity>
  <Lines>77</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10847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2020-07-05T08:48:00Z</dcterms:created>
  <dcterms:modified xsi:type="dcterms:W3CDTF">2020-07-05T08:48:00Z</dcterms:modified>
</cp:coreProperties>
</file>